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7DF" w:rsidRDefault="004540E6">
      <w:r>
        <w:t>MPS Course Big Picture</w:t>
      </w:r>
    </w:p>
    <w:tbl>
      <w:tblPr>
        <w:tblStyle w:val="TableGrid"/>
        <w:tblW w:w="0" w:type="auto"/>
        <w:tblLook w:val="04A0"/>
      </w:tblPr>
      <w:tblGrid>
        <w:gridCol w:w="1458"/>
        <w:gridCol w:w="990"/>
        <w:gridCol w:w="2160"/>
        <w:gridCol w:w="4140"/>
        <w:gridCol w:w="2790"/>
        <w:gridCol w:w="2790"/>
      </w:tblGrid>
      <w:tr w:rsidR="00CD6FDD">
        <w:trPr>
          <w:trHeight w:val="258"/>
        </w:trPr>
        <w:tc>
          <w:tcPr>
            <w:tcW w:w="1458" w:type="dxa"/>
          </w:tcPr>
          <w:p w:rsidR="00CD6FDD" w:rsidRDefault="00CD6FDD">
            <w:r>
              <w:t>Module</w:t>
            </w:r>
          </w:p>
        </w:tc>
        <w:tc>
          <w:tcPr>
            <w:tcW w:w="990" w:type="dxa"/>
          </w:tcPr>
          <w:p w:rsidR="00CD6FDD" w:rsidRDefault="00CD6FDD">
            <w:r>
              <w:t>Dates</w:t>
            </w:r>
          </w:p>
        </w:tc>
        <w:tc>
          <w:tcPr>
            <w:tcW w:w="2160" w:type="dxa"/>
          </w:tcPr>
          <w:p w:rsidR="00CD6FDD" w:rsidRDefault="00CD6FDD">
            <w:r>
              <w:t>Themes</w:t>
            </w:r>
            <w:r w:rsidR="00C828CF">
              <w:t xml:space="preserve"> / Questions</w:t>
            </w:r>
          </w:p>
        </w:tc>
        <w:tc>
          <w:tcPr>
            <w:tcW w:w="4140" w:type="dxa"/>
          </w:tcPr>
          <w:p w:rsidR="00CD6FDD" w:rsidRDefault="00CD6FDD">
            <w:r>
              <w:t>Learning Experiences</w:t>
            </w:r>
          </w:p>
        </w:tc>
        <w:tc>
          <w:tcPr>
            <w:tcW w:w="2790" w:type="dxa"/>
          </w:tcPr>
          <w:p w:rsidR="00CD6FDD" w:rsidRDefault="00CD6FDD">
            <w:r>
              <w:t>Assessment</w:t>
            </w:r>
          </w:p>
        </w:tc>
        <w:tc>
          <w:tcPr>
            <w:tcW w:w="2790" w:type="dxa"/>
          </w:tcPr>
          <w:p w:rsidR="00CD6FDD" w:rsidRDefault="00CD6FDD">
            <w:r>
              <w:t>Resources</w:t>
            </w:r>
          </w:p>
        </w:tc>
      </w:tr>
      <w:tr w:rsidR="00CD6FDD">
        <w:trPr>
          <w:trHeight w:val="820"/>
        </w:trPr>
        <w:tc>
          <w:tcPr>
            <w:tcW w:w="1458" w:type="dxa"/>
            <w:vMerge w:val="restart"/>
          </w:tcPr>
          <w:p w:rsidR="00CD6FDD" w:rsidRDefault="00CD6FDD">
            <w:r>
              <w:t>1: Personal Exploration of Global Competence</w:t>
            </w:r>
          </w:p>
        </w:tc>
        <w:tc>
          <w:tcPr>
            <w:tcW w:w="990" w:type="dxa"/>
          </w:tcPr>
          <w:p w:rsidR="00CD6FDD" w:rsidRDefault="00CD6FDD">
            <w:r>
              <w:t>Sept 24</w:t>
            </w:r>
          </w:p>
        </w:tc>
        <w:tc>
          <w:tcPr>
            <w:tcW w:w="2160" w:type="dxa"/>
          </w:tcPr>
          <w:p w:rsidR="00CD6FDD" w:rsidRDefault="00CD6FDD">
            <w:r>
              <w:t>Individual Assessment and Reflection on Personal Experience</w:t>
            </w:r>
          </w:p>
        </w:tc>
        <w:tc>
          <w:tcPr>
            <w:tcW w:w="4140" w:type="dxa"/>
          </w:tcPr>
          <w:p w:rsidR="002D14D7" w:rsidRDefault="002D14D7">
            <w:r>
              <w:t>Course Overview</w:t>
            </w:r>
          </w:p>
          <w:p w:rsidR="002D14D7" w:rsidRDefault="002D14D7">
            <w:r>
              <w:t>Community Building</w:t>
            </w:r>
          </w:p>
          <w:p w:rsidR="00D177C6" w:rsidRDefault="002D14D7" w:rsidP="00D177C6">
            <w:r>
              <w:t>Exploring the Competencies</w:t>
            </w:r>
          </w:p>
          <w:p w:rsidR="00CD6FDD" w:rsidRDefault="00D177C6">
            <w:r>
              <w:t>Personal Needs Assessment</w:t>
            </w:r>
          </w:p>
        </w:tc>
        <w:tc>
          <w:tcPr>
            <w:tcW w:w="2790" w:type="dxa"/>
          </w:tcPr>
          <w:p w:rsidR="002D14D7" w:rsidRDefault="002D14D7">
            <w:r>
              <w:t>Anticipation Guide</w:t>
            </w:r>
          </w:p>
          <w:p w:rsidR="009C1F26" w:rsidRDefault="009C1F26" w:rsidP="009C1F26">
            <w:r>
              <w:t xml:space="preserve">Paraphrasing </w:t>
            </w:r>
            <w:r w:rsidR="00EE07DF">
              <w:t>Doc</w:t>
            </w:r>
          </w:p>
          <w:p w:rsidR="00CD6FDD" w:rsidRDefault="009C1F26" w:rsidP="009C1F26">
            <w:r>
              <w:t>Personal Reflection</w:t>
            </w:r>
          </w:p>
        </w:tc>
        <w:tc>
          <w:tcPr>
            <w:tcW w:w="2790" w:type="dxa"/>
          </w:tcPr>
          <w:p w:rsidR="00C828CF" w:rsidRDefault="00C828CF">
            <w:bookmarkStart w:id="0" w:name="_GoBack"/>
            <w:bookmarkEnd w:id="0"/>
            <w:r>
              <w:t>Global Competencies Matrix</w:t>
            </w:r>
          </w:p>
          <w:p w:rsidR="00D177C6" w:rsidRDefault="00C828CF">
            <w:r>
              <w:t>Cycle of Socialization</w:t>
            </w:r>
            <w:r w:rsidR="009C1F26">
              <w:t xml:space="preserve"> Art</w:t>
            </w:r>
          </w:p>
          <w:p w:rsidR="00CD6FDD" w:rsidRDefault="00D177C6">
            <w:r>
              <w:t xml:space="preserve">Social Geography </w:t>
            </w:r>
            <w:r w:rsidR="009C1F26">
              <w:t>Questions</w:t>
            </w:r>
          </w:p>
        </w:tc>
      </w:tr>
      <w:tr w:rsidR="00CD6FDD">
        <w:trPr>
          <w:trHeight w:val="146"/>
        </w:trPr>
        <w:tc>
          <w:tcPr>
            <w:tcW w:w="1458" w:type="dxa"/>
            <w:vMerge/>
          </w:tcPr>
          <w:p w:rsidR="00CD6FDD" w:rsidRDefault="00CD6FDD"/>
        </w:tc>
        <w:tc>
          <w:tcPr>
            <w:tcW w:w="990" w:type="dxa"/>
          </w:tcPr>
          <w:p w:rsidR="00CD6FDD" w:rsidRDefault="00CD6FDD">
            <w:r>
              <w:t>Nov 5</w:t>
            </w:r>
          </w:p>
        </w:tc>
        <w:tc>
          <w:tcPr>
            <w:tcW w:w="2160" w:type="dxa"/>
          </w:tcPr>
          <w:p w:rsidR="00CD6FDD" w:rsidRDefault="00CD6FDD">
            <w:r>
              <w:t>What does it mean to be “Global”?</w:t>
            </w:r>
          </w:p>
        </w:tc>
        <w:tc>
          <w:tcPr>
            <w:tcW w:w="4140" w:type="dxa"/>
          </w:tcPr>
          <w:p w:rsidR="00953347" w:rsidRDefault="00D177C6">
            <w:r>
              <w:t>Beyond Borders and Boundaries</w:t>
            </w:r>
          </w:p>
          <w:p w:rsidR="00CD6FDD" w:rsidRDefault="00D20F55">
            <w:r>
              <w:t>Community of Practice: Asset Mapping</w:t>
            </w:r>
          </w:p>
          <w:p w:rsidR="00D177C6" w:rsidRDefault="00D20F55">
            <w:r>
              <w:t xml:space="preserve">Issue Deconstruction and Reconstruction </w:t>
            </w:r>
          </w:p>
          <w:p w:rsidR="00CD6FDD" w:rsidRDefault="00D177C6">
            <w:r>
              <w:t>Learning Ecosystem Needs Assessment</w:t>
            </w:r>
          </w:p>
        </w:tc>
        <w:tc>
          <w:tcPr>
            <w:tcW w:w="2790" w:type="dxa"/>
          </w:tcPr>
          <w:p w:rsidR="00B018C1" w:rsidRDefault="00953347">
            <w:r>
              <w:t>Getting to “Why” R</w:t>
            </w:r>
            <w:r w:rsidR="00EE07DF">
              <w:t>eflection</w:t>
            </w:r>
          </w:p>
          <w:p w:rsidR="00953347" w:rsidRDefault="00B018C1">
            <w:r>
              <w:t>Community Needs Guide</w:t>
            </w:r>
          </w:p>
          <w:p w:rsidR="00CD6FDD" w:rsidRDefault="00C828CF">
            <w:r>
              <w:t>Local and Global Relevancy</w:t>
            </w:r>
          </w:p>
        </w:tc>
        <w:tc>
          <w:tcPr>
            <w:tcW w:w="2790" w:type="dxa"/>
          </w:tcPr>
          <w:p w:rsidR="00B018C1" w:rsidRDefault="009C1F26" w:rsidP="009C1F26">
            <w:r>
              <w:t>Global Competencies Matrix</w:t>
            </w:r>
          </w:p>
          <w:p w:rsidR="009C1F26" w:rsidRDefault="00B018C1" w:rsidP="009C1F26">
            <w:r>
              <w:t>Yong Zhao Reading</w:t>
            </w:r>
          </w:p>
          <w:p w:rsidR="009C1F26" w:rsidRDefault="009C1F26">
            <w:r>
              <w:t>Getting to Why Video</w:t>
            </w:r>
          </w:p>
          <w:p w:rsidR="00CD6FDD" w:rsidRDefault="009C1F26">
            <w:r>
              <w:t>Deconstruction Doc</w:t>
            </w:r>
          </w:p>
        </w:tc>
      </w:tr>
      <w:tr w:rsidR="00CD6FDD">
        <w:trPr>
          <w:trHeight w:val="273"/>
        </w:trPr>
        <w:tc>
          <w:tcPr>
            <w:tcW w:w="1458" w:type="dxa"/>
            <w:vMerge w:val="restart"/>
          </w:tcPr>
          <w:p w:rsidR="00CD6FDD" w:rsidRDefault="00CD6FDD">
            <w:r>
              <w:t>2: Designing for Learning</w:t>
            </w:r>
          </w:p>
        </w:tc>
        <w:tc>
          <w:tcPr>
            <w:tcW w:w="990" w:type="dxa"/>
          </w:tcPr>
          <w:p w:rsidR="00CD6FDD" w:rsidRDefault="00CD6FDD">
            <w:r>
              <w:t>Dec 10</w:t>
            </w:r>
          </w:p>
        </w:tc>
        <w:tc>
          <w:tcPr>
            <w:tcW w:w="2160" w:type="dxa"/>
          </w:tcPr>
          <w:p w:rsidR="00CD6FDD" w:rsidRDefault="00EE07DF" w:rsidP="00EE07DF">
            <w:r>
              <w:t xml:space="preserve">Understanding Design Thinking </w:t>
            </w:r>
          </w:p>
        </w:tc>
        <w:tc>
          <w:tcPr>
            <w:tcW w:w="4140" w:type="dxa"/>
          </w:tcPr>
          <w:p w:rsidR="00EE07DF" w:rsidRDefault="00EE07DF">
            <w:r>
              <w:t>Project Development</w:t>
            </w:r>
            <w:r w:rsidR="009C1F26">
              <w:t xml:space="preserve"> (Unit Plan)</w:t>
            </w:r>
          </w:p>
          <w:p w:rsidR="00D177C6" w:rsidRDefault="00EE07DF">
            <w:r>
              <w:t>Prototyping Practice</w:t>
            </w:r>
          </w:p>
          <w:p w:rsidR="00CD6FDD" w:rsidRDefault="00D177C6">
            <w:r>
              <w:t>Ecosystem Assessment: Voice and Choice</w:t>
            </w:r>
          </w:p>
        </w:tc>
        <w:tc>
          <w:tcPr>
            <w:tcW w:w="2790" w:type="dxa"/>
          </w:tcPr>
          <w:p w:rsidR="00B018C1" w:rsidRDefault="00EE07DF" w:rsidP="00B018C1">
            <w:r>
              <w:t>Inquiry Organizer</w:t>
            </w:r>
          </w:p>
          <w:p w:rsidR="00D177C6" w:rsidRDefault="00B018C1">
            <w:proofErr w:type="spellStart"/>
            <w:r>
              <w:t>Intersectionality</w:t>
            </w:r>
            <w:proofErr w:type="spellEnd"/>
            <w:r>
              <w:t xml:space="preserve"> Doc</w:t>
            </w:r>
          </w:p>
          <w:p w:rsidR="00EE07DF" w:rsidRDefault="00D177C6">
            <w:r>
              <w:t>Needs Statement</w:t>
            </w:r>
          </w:p>
          <w:p w:rsidR="00CD6FDD" w:rsidRDefault="00EE07DF">
            <w:r>
              <w:t>Knowledge to Action Plan</w:t>
            </w:r>
          </w:p>
        </w:tc>
        <w:tc>
          <w:tcPr>
            <w:tcW w:w="2790" w:type="dxa"/>
          </w:tcPr>
          <w:p w:rsidR="00EE07DF" w:rsidRDefault="00EE07DF">
            <w:proofErr w:type="spellStart"/>
            <w:r>
              <w:t>Dweck</w:t>
            </w:r>
            <w:proofErr w:type="spellEnd"/>
            <w:r w:rsidR="009C1F26">
              <w:t xml:space="preserve"> Video</w:t>
            </w:r>
          </w:p>
          <w:p w:rsidR="00B018C1" w:rsidRDefault="00EE07DF">
            <w:proofErr w:type="spellStart"/>
            <w:r>
              <w:t>CoLab</w:t>
            </w:r>
            <w:proofErr w:type="spellEnd"/>
            <w:r>
              <w:t xml:space="preserve"> materials</w:t>
            </w:r>
          </w:p>
          <w:p w:rsidR="00CD6FDD" w:rsidRDefault="00B018C1">
            <w:r>
              <w:t>Prototyping materials</w:t>
            </w:r>
          </w:p>
        </w:tc>
      </w:tr>
      <w:tr w:rsidR="00CD6FDD">
        <w:trPr>
          <w:trHeight w:val="146"/>
        </w:trPr>
        <w:tc>
          <w:tcPr>
            <w:tcW w:w="1458" w:type="dxa"/>
            <w:vMerge/>
          </w:tcPr>
          <w:p w:rsidR="00CD6FDD" w:rsidRDefault="00CD6FDD"/>
        </w:tc>
        <w:tc>
          <w:tcPr>
            <w:tcW w:w="990" w:type="dxa"/>
          </w:tcPr>
          <w:p w:rsidR="00CD6FDD" w:rsidRDefault="00CD6FDD">
            <w:r>
              <w:t>Jan 21</w:t>
            </w:r>
          </w:p>
        </w:tc>
        <w:tc>
          <w:tcPr>
            <w:tcW w:w="2160" w:type="dxa"/>
          </w:tcPr>
          <w:p w:rsidR="00CD6FDD" w:rsidRDefault="00EE07DF">
            <w:r>
              <w:t>Understanding Connected Learning</w:t>
            </w:r>
          </w:p>
        </w:tc>
        <w:tc>
          <w:tcPr>
            <w:tcW w:w="4140" w:type="dxa"/>
          </w:tcPr>
          <w:p w:rsidR="00EE07DF" w:rsidRDefault="00EE07DF">
            <w:r>
              <w:t>Uncovering Your Network</w:t>
            </w:r>
          </w:p>
          <w:p w:rsidR="00CD6FDD" w:rsidRDefault="00EE07DF">
            <w:r>
              <w:t>Building a Learning Playlist</w:t>
            </w:r>
          </w:p>
        </w:tc>
        <w:tc>
          <w:tcPr>
            <w:tcW w:w="2790" w:type="dxa"/>
          </w:tcPr>
          <w:p w:rsidR="00C828CF" w:rsidRDefault="00C828CF">
            <w:r>
              <w:t>Levers and Leverage Plan</w:t>
            </w:r>
          </w:p>
          <w:p w:rsidR="009C1F26" w:rsidRDefault="009C1F26" w:rsidP="009C1F26">
            <w:r>
              <w:t>Planning for the Process</w:t>
            </w:r>
          </w:p>
          <w:p w:rsidR="00CD6FDD" w:rsidRDefault="009C1F26" w:rsidP="009C1F26">
            <w:r>
              <w:t>Learning Playlist</w:t>
            </w:r>
          </w:p>
        </w:tc>
        <w:tc>
          <w:tcPr>
            <w:tcW w:w="2790" w:type="dxa"/>
          </w:tcPr>
          <w:p w:rsidR="00CD6FDD" w:rsidRDefault="00CD6FDD"/>
        </w:tc>
      </w:tr>
      <w:tr w:rsidR="00CD6FDD">
        <w:trPr>
          <w:trHeight w:val="273"/>
        </w:trPr>
        <w:tc>
          <w:tcPr>
            <w:tcW w:w="1458" w:type="dxa"/>
            <w:vMerge w:val="restart"/>
          </w:tcPr>
          <w:p w:rsidR="00CD6FDD" w:rsidRDefault="00CD6FDD">
            <w:r>
              <w:t>3: Focus on Learner Experience</w:t>
            </w:r>
          </w:p>
        </w:tc>
        <w:tc>
          <w:tcPr>
            <w:tcW w:w="990" w:type="dxa"/>
          </w:tcPr>
          <w:p w:rsidR="00CD6FDD" w:rsidRDefault="00CD6FDD">
            <w:r>
              <w:t>Feb 25</w:t>
            </w:r>
          </w:p>
        </w:tc>
        <w:tc>
          <w:tcPr>
            <w:tcW w:w="2160" w:type="dxa"/>
          </w:tcPr>
          <w:p w:rsidR="00CD6FDD" w:rsidRDefault="00EE07DF">
            <w:r>
              <w:t>Outcomes and Assessments</w:t>
            </w:r>
          </w:p>
        </w:tc>
        <w:tc>
          <w:tcPr>
            <w:tcW w:w="4140" w:type="dxa"/>
          </w:tcPr>
          <w:p w:rsidR="00D20F55" w:rsidRDefault="00953347">
            <w:r>
              <w:t>Personal Learning Assessment</w:t>
            </w:r>
          </w:p>
          <w:p w:rsidR="00953347" w:rsidRDefault="00D20F55">
            <w:r>
              <w:t>Community of Practice: Problem Solving</w:t>
            </w:r>
          </w:p>
          <w:p w:rsidR="00CD6FDD" w:rsidRDefault="00953347">
            <w:r>
              <w:t xml:space="preserve">Visioning and </w:t>
            </w:r>
            <w:proofErr w:type="spellStart"/>
            <w:r>
              <w:t>Revisioning</w:t>
            </w:r>
            <w:proofErr w:type="spellEnd"/>
          </w:p>
        </w:tc>
        <w:tc>
          <w:tcPr>
            <w:tcW w:w="2790" w:type="dxa"/>
          </w:tcPr>
          <w:p w:rsidR="00D20F55" w:rsidRDefault="00D20F55">
            <w:r>
              <w:t>Student Evidence Analysis</w:t>
            </w:r>
          </w:p>
          <w:p w:rsidR="009C1F26" w:rsidRDefault="00D20F55">
            <w:r>
              <w:t>Implementation Plan</w:t>
            </w:r>
          </w:p>
          <w:p w:rsidR="00CD6FDD" w:rsidRDefault="009C1F26">
            <w:r>
              <w:t>Progress Monitoring</w:t>
            </w:r>
          </w:p>
        </w:tc>
        <w:tc>
          <w:tcPr>
            <w:tcW w:w="2790" w:type="dxa"/>
          </w:tcPr>
          <w:p w:rsidR="00CD6FDD" w:rsidRDefault="00CD6FDD"/>
        </w:tc>
      </w:tr>
      <w:tr w:rsidR="00CD6FDD">
        <w:trPr>
          <w:trHeight w:val="146"/>
        </w:trPr>
        <w:tc>
          <w:tcPr>
            <w:tcW w:w="1458" w:type="dxa"/>
            <w:vMerge/>
          </w:tcPr>
          <w:p w:rsidR="00CD6FDD" w:rsidRDefault="00CD6FDD"/>
        </w:tc>
        <w:tc>
          <w:tcPr>
            <w:tcW w:w="990" w:type="dxa"/>
          </w:tcPr>
          <w:p w:rsidR="00CD6FDD" w:rsidRDefault="00CD6FDD">
            <w:r>
              <w:t>Apr 14</w:t>
            </w:r>
          </w:p>
        </w:tc>
        <w:tc>
          <w:tcPr>
            <w:tcW w:w="2160" w:type="dxa"/>
          </w:tcPr>
          <w:p w:rsidR="00CD6FDD" w:rsidRDefault="00EE07DF">
            <w:r>
              <w:t>Engagement: Being and Doing in the World</w:t>
            </w:r>
          </w:p>
        </w:tc>
        <w:tc>
          <w:tcPr>
            <w:tcW w:w="4140" w:type="dxa"/>
          </w:tcPr>
          <w:p w:rsidR="009C1F26" w:rsidRDefault="009C1F26">
            <w:r>
              <w:t>Opening Share</w:t>
            </w:r>
          </w:p>
          <w:p w:rsidR="009C1F26" w:rsidRDefault="009C1F26">
            <w:r>
              <w:t>(Personalized Learning Environment)</w:t>
            </w:r>
          </w:p>
          <w:p w:rsidR="00CD6FDD" w:rsidRDefault="009C1F26">
            <w:r>
              <w:t>Community Commitments</w:t>
            </w:r>
          </w:p>
        </w:tc>
        <w:tc>
          <w:tcPr>
            <w:tcW w:w="2790" w:type="dxa"/>
          </w:tcPr>
          <w:p w:rsidR="00CD6FDD" w:rsidRDefault="00CD6FDD"/>
        </w:tc>
        <w:tc>
          <w:tcPr>
            <w:tcW w:w="2790" w:type="dxa"/>
          </w:tcPr>
          <w:p w:rsidR="00CD6FDD" w:rsidRDefault="00CD6FDD"/>
        </w:tc>
      </w:tr>
      <w:tr w:rsidR="00CD6FDD">
        <w:trPr>
          <w:trHeight w:val="273"/>
        </w:trPr>
        <w:tc>
          <w:tcPr>
            <w:tcW w:w="1458" w:type="dxa"/>
          </w:tcPr>
          <w:p w:rsidR="00CD6FDD" w:rsidRDefault="00CD6FDD">
            <w:r>
              <w:t>Capstone</w:t>
            </w:r>
          </w:p>
        </w:tc>
        <w:tc>
          <w:tcPr>
            <w:tcW w:w="990" w:type="dxa"/>
          </w:tcPr>
          <w:p w:rsidR="00CD6FDD" w:rsidRDefault="00CD6FDD">
            <w:r>
              <w:t>May 12</w:t>
            </w:r>
          </w:p>
        </w:tc>
        <w:tc>
          <w:tcPr>
            <w:tcW w:w="2160" w:type="dxa"/>
          </w:tcPr>
          <w:p w:rsidR="00CD6FDD" w:rsidRDefault="00CD6FDD"/>
        </w:tc>
        <w:tc>
          <w:tcPr>
            <w:tcW w:w="4140" w:type="dxa"/>
          </w:tcPr>
          <w:p w:rsidR="00CD6FDD" w:rsidRDefault="00CD6FDD"/>
        </w:tc>
        <w:tc>
          <w:tcPr>
            <w:tcW w:w="2790" w:type="dxa"/>
          </w:tcPr>
          <w:p w:rsidR="00CD6FDD" w:rsidRDefault="00CD6FDD"/>
        </w:tc>
        <w:tc>
          <w:tcPr>
            <w:tcW w:w="2790" w:type="dxa"/>
          </w:tcPr>
          <w:p w:rsidR="00CD6FDD" w:rsidRDefault="00CD6FDD"/>
        </w:tc>
      </w:tr>
    </w:tbl>
    <w:p w:rsidR="004540E6" w:rsidRDefault="004540E6">
      <w:bookmarkStart w:id="1" w:name="_PictureBullets"/>
      <w:bookmarkEnd w:id="1"/>
    </w:p>
    <w:sectPr w:rsidR="004540E6" w:rsidSect="004540E6">
      <w:pgSz w:w="15840" w:h="12240" w:orient="landscape"/>
      <w:pgMar w:top="720" w:right="810" w:bottom="720" w:left="81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4540E6"/>
    <w:rsid w:val="002D14D7"/>
    <w:rsid w:val="003D67D1"/>
    <w:rsid w:val="004540E6"/>
    <w:rsid w:val="0066417C"/>
    <w:rsid w:val="006B2068"/>
    <w:rsid w:val="008B48AD"/>
    <w:rsid w:val="00953347"/>
    <w:rsid w:val="009B5E7E"/>
    <w:rsid w:val="009C1F26"/>
    <w:rsid w:val="00AD0DA4"/>
    <w:rsid w:val="00B018C1"/>
    <w:rsid w:val="00C324C9"/>
    <w:rsid w:val="00C828CF"/>
    <w:rsid w:val="00CD6FDD"/>
    <w:rsid w:val="00D177C6"/>
    <w:rsid w:val="00D20F55"/>
    <w:rsid w:val="00EE07DF"/>
  </w:rsids>
  <m:mathPr>
    <m:mathFont m:val="Garamon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06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540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E07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4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Kohan, Jen [MN]</dc:creator>
  <cp:lastModifiedBy>Jennifer Kohan</cp:lastModifiedBy>
  <cp:revision>2</cp:revision>
  <dcterms:created xsi:type="dcterms:W3CDTF">2015-09-21T14:04:00Z</dcterms:created>
  <dcterms:modified xsi:type="dcterms:W3CDTF">2015-09-21T14:04:00Z</dcterms:modified>
</cp:coreProperties>
</file>